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《庆元县征收集体土地区片综合地价补偿标准》</w:t>
      </w:r>
      <w:r>
        <w:rPr>
          <w:rFonts w:hint="eastAsia" w:ascii="方正小标宋简体" w:hAnsi="方正小标宋简体" w:eastAsia="方正小标宋简体" w:cs="方正小标宋简体"/>
          <w:sz w:val="44"/>
          <w:szCs w:val="44"/>
        </w:rPr>
        <w:t>政策解读</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
          <w:b/>
          <w:color w:val="FF000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一、制定背景</w:t>
      </w:r>
    </w:p>
    <w:p>
      <w:pPr>
        <w:pStyle w:val="5"/>
        <w:keepNext w:val="0"/>
        <w:keepLines w:val="0"/>
        <w:pageBreakBefore w:val="0"/>
        <w:widowControl w:val="0"/>
        <w:suppressLineNumbers w:val="0"/>
        <w:kinsoku/>
        <w:wordWrap/>
        <w:overflowPunct w:val="0"/>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eastAsia="仿宋_GB2312" w:cs="仿宋_GB2312"/>
          <w:color w:val="auto"/>
          <w:kern w:val="0"/>
          <w:sz w:val="32"/>
          <w:szCs w:val="32"/>
          <w:lang w:eastAsia="zh-CN"/>
        </w:rPr>
        <w:t>根据</w:t>
      </w:r>
      <w:r>
        <w:rPr>
          <w:rFonts w:hint="eastAsia" w:ascii="仿宋_GB2312" w:hAnsi="宋体" w:eastAsia="仿宋_GB2312" w:cs="仿宋_GB2312"/>
          <w:color w:val="auto"/>
          <w:kern w:val="0"/>
          <w:sz w:val="32"/>
          <w:szCs w:val="32"/>
          <w:lang w:eastAsia="zh-CN"/>
        </w:rPr>
        <w:t>《浙江省自然资源厅关于重新公布全省征地区片综合地价最低保护标准的通知》（</w:t>
      </w:r>
      <w:r>
        <w:rPr>
          <w:rFonts w:hint="default" w:ascii="仿宋_GB2312" w:hAnsi="宋体" w:eastAsia="仿宋_GB2312" w:cs="仿宋_GB2312"/>
          <w:color w:val="auto"/>
          <w:kern w:val="0"/>
          <w:sz w:val="32"/>
          <w:szCs w:val="32"/>
        </w:rPr>
        <w:t>浙自然资规〔20</w:t>
      </w:r>
      <w:r>
        <w:rPr>
          <w:rFonts w:hint="default" w:ascii="仿宋_GB2312" w:hAnsi="宋体" w:eastAsia="仿宋_GB2312" w:cs="仿宋_GB2312"/>
          <w:color w:val="auto"/>
          <w:kern w:val="0"/>
          <w:sz w:val="32"/>
          <w:szCs w:val="32"/>
          <w:lang w:val="en-US" w:eastAsia="zh-CN"/>
        </w:rPr>
        <w:t>2</w:t>
      </w:r>
      <w:r>
        <w:rPr>
          <w:rFonts w:hint="eastAsia" w:ascii="仿宋_GB2312" w:hAnsi="宋体" w:eastAsia="仿宋_GB2312" w:cs="仿宋_GB2312"/>
          <w:color w:val="auto"/>
          <w:kern w:val="0"/>
          <w:sz w:val="32"/>
          <w:szCs w:val="32"/>
          <w:lang w:val="en-US" w:eastAsia="zh-CN"/>
        </w:rPr>
        <w:t>3</w:t>
      </w:r>
      <w:r>
        <w:rPr>
          <w:rFonts w:hint="default"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lang w:val="en-US" w:eastAsia="zh-CN"/>
        </w:rPr>
        <w:t>12</w:t>
      </w:r>
      <w:r>
        <w:rPr>
          <w:rFonts w:hint="default" w:ascii="仿宋_GB2312" w:hAnsi="宋体" w:eastAsia="仿宋_GB2312" w:cs="仿宋_GB2312"/>
          <w:color w:val="auto"/>
          <w:kern w:val="0"/>
          <w:sz w:val="32"/>
          <w:szCs w:val="32"/>
        </w:rPr>
        <w:t>号</w:t>
      </w:r>
      <w:r>
        <w:rPr>
          <w:rFonts w:hint="eastAsia" w:ascii="仿宋_GB2312" w:eastAsia="仿宋_GB2312" w:cs="仿宋_GB2312"/>
          <w:color w:val="auto"/>
          <w:kern w:val="0"/>
          <w:sz w:val="32"/>
          <w:szCs w:val="32"/>
          <w:lang w:eastAsia="zh-CN"/>
        </w:rPr>
        <w:t>）的</w:t>
      </w:r>
      <w:bookmarkStart w:id="0" w:name="_GoBack"/>
      <w:bookmarkEnd w:id="0"/>
      <w:r>
        <w:rPr>
          <w:rFonts w:hint="eastAsia" w:ascii="仿宋_GB2312" w:hAnsi="宋体" w:eastAsia="仿宋_GB2312" w:cs="仿宋_GB2312"/>
          <w:color w:val="auto"/>
          <w:kern w:val="0"/>
          <w:sz w:val="32"/>
          <w:szCs w:val="32"/>
          <w:lang w:eastAsia="zh-CN"/>
        </w:rPr>
        <w:t>规定“</w:t>
      </w:r>
      <w:r>
        <w:rPr>
          <w:rFonts w:hint="default" w:ascii="Times New Roman" w:hAnsi="Times New Roman" w:eastAsia="仿宋_GB2312" w:cs="Times New Roman"/>
          <w:color w:val="000000"/>
          <w:sz w:val="32"/>
          <w:szCs w:val="32"/>
          <w:u w:val="none" w:color="000000"/>
          <w:lang w:val="en-US" w:eastAsia="zh-CN"/>
        </w:rPr>
        <w:t>各市、县（市、区）政府可根据当地实际情况，对征地补偿标准进行重新公布或调整，重新公布或</w:t>
      </w:r>
      <w:r>
        <w:rPr>
          <w:rFonts w:hint="default" w:ascii="Times New Roman" w:hAnsi="Times New Roman" w:eastAsia="仿宋_GB2312" w:cs="Times New Roman"/>
          <w:color w:val="000000"/>
          <w:sz w:val="32"/>
          <w:szCs w:val="32"/>
        </w:rPr>
        <w:t>调整后的征地区片综合地价不得低于省政府规定的最低保护标准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u w:val="none" w:color="000000"/>
          <w:lang w:val="en-US" w:eastAsia="zh-CN"/>
        </w:rPr>
        <w:t>并做好宣传解释工作</w:t>
      </w:r>
      <w:r>
        <w:rPr>
          <w:rFonts w:hint="default" w:ascii="仿宋_GB2312" w:hAnsi="宋体" w:eastAsia="仿宋_GB2312" w:cs="仿宋_GB2312"/>
          <w:color w:val="auto"/>
          <w:kern w:val="0"/>
          <w:sz w:val="32"/>
          <w:szCs w:val="32"/>
          <w:lang w:val="en-US" w:eastAsia="zh-CN"/>
        </w:rPr>
        <w:t>。</w:t>
      </w:r>
      <w:r>
        <w:rPr>
          <w:rFonts w:hint="eastAsia" w:ascii="仿宋_GB2312" w:hAnsi="宋体"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二、制定</w:t>
      </w:r>
      <w:r>
        <w:rPr>
          <w:rFonts w:hint="eastAsia" w:ascii="黑体" w:hAnsi="黑体" w:eastAsia="黑体" w:cs="黑体"/>
          <w:b w:val="0"/>
          <w:bCs w:val="0"/>
          <w:sz w:val="32"/>
          <w:szCs w:val="32"/>
          <w:lang w:eastAsia="zh-CN"/>
        </w:rPr>
        <w:t>依据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仿宋_GB2312" w:hAnsi="宋体" w:eastAsia="仿宋_GB2312" w:cs="仿宋_GB2312"/>
          <w:color w:val="000000"/>
          <w:kern w:val="0"/>
          <w:sz w:val="31"/>
          <w:szCs w:val="31"/>
          <w:lang w:val="en-US" w:eastAsia="zh-CN" w:bidi="ar"/>
        </w:rPr>
        <w:t>《中华人民共和国土地管理法》</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rPr>
        <w:t>（二）</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仿宋_GB2312" w:cs="Times New Roman"/>
          <w:color w:val="000000"/>
          <w:sz w:val="32"/>
          <w:szCs w:val="32"/>
          <w:u w:val="none" w:color="000000"/>
          <w:lang w:eastAsia="zh-CN"/>
        </w:rPr>
        <w:t>浙江省土地管理条例</w:t>
      </w:r>
      <w:r>
        <w:rPr>
          <w:rFonts w:hint="eastAsia" w:ascii="仿宋_GB2312" w:hAnsi="宋体" w:eastAsia="仿宋_GB2312" w:cs="仿宋_GB2312"/>
          <w:color w:val="000000"/>
          <w:kern w:val="0"/>
          <w:sz w:val="31"/>
          <w:szCs w:val="31"/>
          <w:lang w:val="en-US" w:eastAsia="zh-CN" w:bidi="ar"/>
        </w:rPr>
        <w:t>》</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Times New Roman" w:hAnsi="Times New Roman" w:eastAsia="仿宋_GB2312" w:cs="Times New Roman"/>
          <w:color w:val="000000"/>
          <w:sz w:val="32"/>
          <w:szCs w:val="32"/>
          <w:u w:val="none" w:color="000000"/>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仿宋_GB2312" w:cs="Times New Roman"/>
          <w:color w:val="000000"/>
          <w:sz w:val="32"/>
          <w:szCs w:val="32"/>
          <w:u w:val="none" w:color="000000"/>
          <w:lang w:eastAsia="zh-CN"/>
        </w:rPr>
        <w:t>自然资源部办公厅关于加快制定征收农用地区片综合地价工作的通知</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仿宋_GB2312" w:cs="Times New Roman"/>
          <w:color w:val="000000"/>
          <w:sz w:val="32"/>
          <w:szCs w:val="32"/>
          <w:u w:val="none" w:color="000000"/>
          <w:lang w:eastAsia="zh-CN"/>
        </w:rPr>
        <w:t>（自然资办发</w:t>
      </w:r>
      <w:r>
        <w:rPr>
          <w:rFonts w:hint="default" w:ascii="Times New Roman" w:hAnsi="Times New Roman" w:eastAsia="仿宋_GB2312" w:cs="Times New Roman"/>
          <w:color w:val="000000"/>
          <w:sz w:val="32"/>
          <w:szCs w:val="32"/>
          <w:u w:val="none" w:color="000000"/>
          <w:lang w:val="en-US" w:eastAsia="zh-CN"/>
        </w:rPr>
        <w:t>〔2019〕53</w:t>
      </w:r>
      <w:r>
        <w:rPr>
          <w:rFonts w:hint="default" w:ascii="Times New Roman" w:hAnsi="Times New Roman" w:eastAsia="仿宋_GB2312" w:cs="Times New Roman"/>
          <w:color w:val="000000"/>
          <w:sz w:val="32"/>
          <w:szCs w:val="32"/>
          <w:u w:val="none" w:color="000000"/>
          <w:lang w:eastAsia="zh-CN"/>
        </w:rPr>
        <w:t>号）</w:t>
      </w:r>
      <w:r>
        <w:rPr>
          <w:rFonts w:hint="eastAsia" w:ascii="Times New Roman" w:hAnsi="Times New Roman" w:eastAsia="仿宋_GB2312" w:cs="Times New Roman"/>
          <w:color w:val="000000"/>
          <w:sz w:val="32"/>
          <w:szCs w:val="32"/>
          <w:u w:val="none" w:color="000000"/>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color w:val="auto"/>
          <w:kern w:val="0"/>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w:t>
      </w:r>
      <w:r>
        <w:rPr>
          <w:rFonts w:hint="eastAsia" w:ascii="仿宋_GB2312" w:hAnsi="宋体" w:eastAsia="仿宋_GB2312" w:cs="仿宋_GB2312"/>
          <w:color w:val="auto"/>
          <w:kern w:val="0"/>
          <w:sz w:val="32"/>
          <w:szCs w:val="32"/>
          <w:lang w:eastAsia="zh-CN"/>
        </w:rPr>
        <w:t>《浙江省自然资源厅关于重新公布全省征地区片综合地价最低保护标准的通知》（</w:t>
      </w:r>
      <w:r>
        <w:rPr>
          <w:rFonts w:hint="default" w:ascii="仿宋_GB2312" w:hAnsi="宋体" w:eastAsia="仿宋_GB2312" w:cs="仿宋_GB2312"/>
          <w:color w:val="auto"/>
          <w:kern w:val="0"/>
          <w:sz w:val="32"/>
          <w:szCs w:val="32"/>
        </w:rPr>
        <w:t>浙自然资规〔20</w:t>
      </w:r>
      <w:r>
        <w:rPr>
          <w:rFonts w:hint="default" w:ascii="仿宋_GB2312" w:hAnsi="宋体" w:eastAsia="仿宋_GB2312" w:cs="仿宋_GB2312"/>
          <w:color w:val="auto"/>
          <w:kern w:val="0"/>
          <w:sz w:val="32"/>
          <w:szCs w:val="32"/>
          <w:lang w:val="en-US" w:eastAsia="zh-CN"/>
        </w:rPr>
        <w:t>2</w:t>
      </w:r>
      <w:r>
        <w:rPr>
          <w:rFonts w:hint="eastAsia" w:ascii="仿宋_GB2312" w:hAnsi="宋体" w:eastAsia="仿宋_GB2312" w:cs="仿宋_GB2312"/>
          <w:color w:val="auto"/>
          <w:kern w:val="0"/>
          <w:sz w:val="32"/>
          <w:szCs w:val="32"/>
          <w:lang w:val="en-US" w:eastAsia="zh-CN"/>
        </w:rPr>
        <w:t>3</w:t>
      </w:r>
      <w:r>
        <w:rPr>
          <w:rFonts w:hint="default" w:ascii="仿宋_GB2312" w:hAnsi="宋体" w:eastAsia="仿宋_GB2312" w:cs="仿宋_GB2312"/>
          <w:color w:val="auto"/>
          <w:kern w:val="0"/>
          <w:sz w:val="32"/>
          <w:szCs w:val="32"/>
        </w:rPr>
        <w:t>〕</w:t>
      </w:r>
      <w:r>
        <w:rPr>
          <w:rFonts w:hint="eastAsia" w:ascii="仿宋_GB2312" w:hAnsi="宋体" w:eastAsia="仿宋_GB2312" w:cs="仿宋_GB2312"/>
          <w:color w:val="auto"/>
          <w:kern w:val="0"/>
          <w:sz w:val="32"/>
          <w:szCs w:val="32"/>
          <w:lang w:val="en-US" w:eastAsia="zh-CN"/>
        </w:rPr>
        <w:t>12</w:t>
      </w:r>
      <w:r>
        <w:rPr>
          <w:rFonts w:hint="default" w:ascii="仿宋_GB2312" w:hAnsi="宋体" w:eastAsia="仿宋_GB2312" w:cs="仿宋_GB2312"/>
          <w:color w:val="auto"/>
          <w:kern w:val="0"/>
          <w:sz w:val="32"/>
          <w:szCs w:val="32"/>
        </w:rPr>
        <w:t>号</w:t>
      </w:r>
      <w:r>
        <w:rPr>
          <w:rFonts w:hint="eastAsia" w:ascii="仿宋_GB2312"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三、主要内容</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（一）征地区片综合地价的定义</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“征地区片综合地价”是指在县（市）级行政区域内，综合考虑土地原用途、土地资源条件、土地产值、土地区位、土地供求关系、人口以及经济社会发展水平等因素划分区片，分别确定的区片农用地土地</w:t>
      </w:r>
      <w:r>
        <w:rPr>
          <w:rFonts w:ascii="仿宋_GB2312" w:eastAsia="仿宋_GB2312"/>
          <w:sz w:val="32"/>
          <w:szCs w:val="32"/>
        </w:rPr>
        <w:t>补偿费和安置</w:t>
      </w:r>
      <w:r>
        <w:rPr>
          <w:rFonts w:hint="eastAsia" w:ascii="仿宋_GB2312" w:eastAsia="仿宋_GB2312"/>
          <w:sz w:val="32"/>
          <w:szCs w:val="32"/>
        </w:rPr>
        <w:t>补助</w:t>
      </w:r>
      <w:r>
        <w:rPr>
          <w:rFonts w:ascii="仿宋_GB2312" w:eastAsia="仿宋_GB2312"/>
          <w:sz w:val="32"/>
          <w:szCs w:val="32"/>
        </w:rPr>
        <w:t>费</w:t>
      </w:r>
      <w:r>
        <w:rPr>
          <w:rFonts w:hint="eastAsia" w:ascii="仿宋_GB2312" w:eastAsia="仿宋_GB2312"/>
          <w:sz w:val="32"/>
          <w:szCs w:val="32"/>
        </w:rPr>
        <w:t>。我县征收</w:t>
      </w:r>
      <w:r>
        <w:rPr>
          <w:rFonts w:ascii="仿宋_GB2312" w:eastAsia="仿宋_GB2312"/>
          <w:sz w:val="32"/>
          <w:szCs w:val="32"/>
        </w:rPr>
        <w:t>集体土地</w:t>
      </w:r>
      <w:r>
        <w:rPr>
          <w:rFonts w:hint="eastAsia" w:ascii="仿宋_GB2312" w:eastAsia="仿宋_GB2312"/>
          <w:sz w:val="32"/>
          <w:szCs w:val="32"/>
        </w:rPr>
        <w:t>统一实行区片综合地价补偿。</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（二）征地区片综合地价的区片划分</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ascii="仿宋_GB2312" w:hAnsi="宋体" w:eastAsia="仿宋_GB2312" w:cs="Arial"/>
          <w:kern w:val="0"/>
          <w:sz w:val="32"/>
          <w:szCs w:val="32"/>
        </w:rPr>
      </w:pPr>
      <w:r>
        <w:rPr>
          <w:rFonts w:hint="eastAsia" w:ascii="仿宋_GB2312" w:eastAsia="仿宋_GB2312"/>
          <w:sz w:val="32"/>
          <w:szCs w:val="32"/>
        </w:rPr>
        <w:t>庆元县征地区片划分</w:t>
      </w:r>
      <w:r>
        <w:rPr>
          <w:rFonts w:ascii="仿宋_GB2312" w:eastAsia="仿宋_GB2312"/>
          <w:sz w:val="32"/>
          <w:szCs w:val="32"/>
        </w:rPr>
        <w:t>为</w:t>
      </w:r>
      <w:r>
        <w:rPr>
          <w:rFonts w:hint="eastAsia" w:ascii="仿宋_GB2312" w:eastAsia="仿宋_GB2312"/>
          <w:sz w:val="32"/>
          <w:szCs w:val="32"/>
        </w:rPr>
        <w:t>三个区片。</w:t>
      </w:r>
    </w:p>
    <w:tbl>
      <w:tblPr>
        <w:tblStyle w:val="7"/>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1440"/>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22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仿宋_GB2312" w:eastAsia="仿宋_GB2312"/>
                <w:sz w:val="21"/>
                <w:szCs w:val="21"/>
              </w:rPr>
              <w:t>区片等级</w:t>
            </w:r>
          </w:p>
        </w:tc>
        <w:tc>
          <w:tcPr>
            <w:tcW w:w="144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仿宋_GB2312" w:eastAsia="仿宋_GB2312"/>
                <w:sz w:val="21"/>
                <w:szCs w:val="21"/>
              </w:rPr>
              <w:t>乡镇</w:t>
            </w:r>
            <w:r>
              <w:rPr>
                <w:rFonts w:ascii="仿宋_GB2312" w:eastAsia="仿宋_GB2312"/>
                <w:sz w:val="21"/>
                <w:szCs w:val="21"/>
              </w:rPr>
              <w:t>街道</w:t>
            </w:r>
          </w:p>
        </w:tc>
        <w:tc>
          <w:tcPr>
            <w:tcW w:w="5802"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both"/>
              <w:textAlignment w:val="auto"/>
              <w:rPr>
                <w:rFonts w:hint="eastAsia" w:ascii="仿宋_GB2312" w:eastAsia="仿宋_GB2312"/>
                <w:sz w:val="21"/>
                <w:szCs w:val="21"/>
              </w:rPr>
            </w:pPr>
            <w:r>
              <w:rPr>
                <w:rFonts w:hint="eastAsia" w:ascii="仿宋_GB2312" w:eastAsia="仿宋_GB2312"/>
                <w:sz w:val="21"/>
                <w:szCs w:val="21"/>
              </w:rPr>
              <w:t>行政村名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20" w:type="dxa"/>
            <w:vMerge w:val="restart"/>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jc w:val="center"/>
              <w:textAlignment w:val="auto"/>
              <w:rPr>
                <w:rFonts w:hint="eastAsia" w:ascii="仿宋_GB2312" w:eastAsia="仿宋_GB2312"/>
                <w:sz w:val="21"/>
                <w:szCs w:val="21"/>
              </w:rPr>
            </w:pPr>
            <w:r>
              <w:rPr>
                <w:rFonts w:ascii="仿宋_GB2312" w:eastAsia="仿宋_GB2312"/>
                <w:color w:val="323232"/>
                <w:sz w:val="21"/>
                <w:szCs w:val="21"/>
              </w:rPr>
              <w:t>Ⅰ</w:t>
            </w:r>
          </w:p>
        </w:tc>
        <w:tc>
          <w:tcPr>
            <w:tcW w:w="144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仿宋_GB2312" w:eastAsia="仿宋_GB2312"/>
                <w:sz w:val="21"/>
                <w:szCs w:val="21"/>
              </w:rPr>
              <w:t>松源街道</w:t>
            </w:r>
          </w:p>
        </w:tc>
        <w:tc>
          <w:tcPr>
            <w:tcW w:w="5802" w:type="dxa"/>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textAlignment w:val="auto"/>
              <w:rPr>
                <w:rFonts w:hint="eastAsia" w:ascii="仿宋_GB2312" w:eastAsia="仿宋_GB2312"/>
                <w:sz w:val="21"/>
                <w:szCs w:val="21"/>
              </w:rPr>
            </w:pPr>
            <w:r>
              <w:rPr>
                <w:rFonts w:hint="eastAsia" w:ascii="仿宋_GB2312" w:eastAsia="仿宋_GB2312"/>
                <w:sz w:val="21"/>
                <w:szCs w:val="21"/>
              </w:rPr>
              <w:t>东门村（原东门村、原菜业村）、南门村、西门村部分、北门村（原北门村）、城北村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220" w:type="dxa"/>
            <w:vMerge w:val="continue"/>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p>
        </w:tc>
        <w:tc>
          <w:tcPr>
            <w:tcW w:w="144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微软雅黑" w:hAnsi="微软雅黑" w:eastAsia="微软雅黑" w:cs="微软雅黑"/>
                <w:sz w:val="21"/>
                <w:szCs w:val="21"/>
              </w:rPr>
              <w:t>濛洲</w:t>
            </w:r>
            <w:r>
              <w:rPr>
                <w:rFonts w:hint="eastAsia" w:ascii="仿宋_GB2312" w:eastAsia="仿宋_GB2312"/>
                <w:sz w:val="21"/>
                <w:szCs w:val="21"/>
              </w:rPr>
              <w:t>街道</w:t>
            </w:r>
          </w:p>
        </w:tc>
        <w:tc>
          <w:tcPr>
            <w:tcW w:w="5802"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both"/>
              <w:textAlignment w:val="auto"/>
              <w:rPr>
                <w:rFonts w:hint="eastAsia" w:ascii="仿宋_GB2312" w:eastAsia="仿宋_GB2312"/>
                <w:sz w:val="21"/>
                <w:szCs w:val="21"/>
              </w:rPr>
            </w:pPr>
            <w:r>
              <w:rPr>
                <w:rFonts w:hint="eastAsia" w:ascii="仿宋_GB2312" w:hAnsi="仿宋_GB2312" w:eastAsia="仿宋_GB2312" w:cs="仿宋_GB2312"/>
                <w:sz w:val="21"/>
                <w:szCs w:val="21"/>
              </w:rPr>
              <w:t>后碓村、吴宅村、大坂洋村、姚家村、上叶村、街尾村、周墩村部分、同源村部分（原田墩村、原洋心村）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220" w:type="dxa"/>
            <w:vMerge w:val="restart"/>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jc w:val="center"/>
              <w:textAlignment w:val="auto"/>
              <w:rPr>
                <w:sz w:val="21"/>
                <w:szCs w:val="21"/>
              </w:rPr>
            </w:pPr>
            <w:r>
              <w:rPr>
                <w:rFonts w:ascii="仿宋_GB2312" w:eastAsia="仿宋_GB2312"/>
                <w:color w:val="323232"/>
                <w:sz w:val="21"/>
                <w:szCs w:val="21"/>
              </w:rPr>
              <w:t>Ⅱ</w:t>
            </w:r>
          </w:p>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p>
        </w:tc>
        <w:tc>
          <w:tcPr>
            <w:tcW w:w="144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仿宋_GB2312" w:eastAsia="仿宋_GB2312"/>
                <w:sz w:val="21"/>
                <w:szCs w:val="21"/>
              </w:rPr>
              <w:t>松源街道</w:t>
            </w:r>
          </w:p>
        </w:tc>
        <w:tc>
          <w:tcPr>
            <w:tcW w:w="5802" w:type="dxa"/>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textAlignment w:val="auto"/>
              <w:rPr>
                <w:rFonts w:hint="eastAsia" w:ascii="仿宋_GB2312" w:eastAsia="仿宋_GB2312"/>
                <w:sz w:val="21"/>
                <w:szCs w:val="21"/>
              </w:rPr>
            </w:pPr>
            <w:r>
              <w:rPr>
                <w:rFonts w:hint="eastAsia" w:ascii="仿宋_GB2312" w:eastAsia="仿宋_GB2312"/>
                <w:sz w:val="21"/>
                <w:szCs w:val="21"/>
              </w:rPr>
              <w:t>西门村部分、五一村、五二村、五三村、兴民村（原坪洋村、原五四村）、朱村村、北门村部分（原岙后村）、坑西村、底村村、会溪村（原会溪村、原牛路洋村）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1220" w:type="dxa"/>
            <w:vMerge w:val="continue"/>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p>
        </w:tc>
        <w:tc>
          <w:tcPr>
            <w:tcW w:w="144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微软雅黑" w:hAnsi="微软雅黑" w:eastAsia="微软雅黑" w:cs="微软雅黑"/>
                <w:sz w:val="21"/>
                <w:szCs w:val="21"/>
              </w:rPr>
              <w:t>濛洲</w:t>
            </w:r>
            <w:r>
              <w:rPr>
                <w:rFonts w:hint="eastAsia" w:ascii="仿宋_GB2312" w:eastAsia="仿宋_GB2312"/>
                <w:sz w:val="21"/>
                <w:szCs w:val="21"/>
              </w:rPr>
              <w:t>街道</w:t>
            </w:r>
          </w:p>
        </w:tc>
        <w:tc>
          <w:tcPr>
            <w:tcW w:w="5802" w:type="dxa"/>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textAlignment w:val="auto"/>
              <w:rPr>
                <w:rFonts w:hint="eastAsia" w:ascii="仿宋_GB2312" w:eastAsia="仿宋_GB2312"/>
                <w:sz w:val="21"/>
                <w:szCs w:val="21"/>
              </w:rPr>
            </w:pPr>
            <w:r>
              <w:rPr>
                <w:rFonts w:hint="eastAsia" w:ascii="仿宋_GB2312" w:hAnsi="仿宋_GB2312" w:eastAsia="仿宋_GB2312" w:cs="仿宋_GB2312"/>
                <w:sz w:val="21"/>
                <w:szCs w:val="21"/>
              </w:rPr>
              <w:t>大济村、道岗村（原道岗村、原半湾村、原下滩村）、喜鹊村、同源村部分（原西演村、原应岭尾村、原田墩村）、大塘源村（原大坑村、原黄象村），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1220" w:type="dxa"/>
            <w:vMerge w:val="continue"/>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p>
        </w:tc>
        <w:tc>
          <w:tcPr>
            <w:tcW w:w="1440" w:type="dxa"/>
            <w:noWrap w:val="0"/>
            <w:vAlign w:val="center"/>
          </w:tcPr>
          <w:p>
            <w:pPr>
              <w:pStyle w:val="6"/>
              <w:keepNext w:val="0"/>
              <w:keepLines w:val="0"/>
              <w:pageBreakBefore w:val="0"/>
              <w:kinsoku/>
              <w:topLinePunct w:val="0"/>
              <w:autoSpaceDE/>
              <w:autoSpaceDN/>
              <w:bidi w:val="0"/>
              <w:adjustRightInd/>
              <w:snapToGrid/>
              <w:spacing w:before="0" w:beforeAutospacing="0" w:after="0" w:afterAutospacing="0" w:line="560" w:lineRule="exact"/>
              <w:jc w:val="center"/>
              <w:textAlignment w:val="auto"/>
              <w:rPr>
                <w:rFonts w:hint="eastAsia" w:ascii="仿宋_GB2312" w:eastAsia="仿宋_GB2312"/>
                <w:sz w:val="21"/>
                <w:szCs w:val="21"/>
              </w:rPr>
            </w:pPr>
            <w:r>
              <w:rPr>
                <w:rFonts w:hint="eastAsia" w:ascii="仿宋_GB2312" w:eastAsia="仿宋_GB2312"/>
                <w:sz w:val="21"/>
                <w:szCs w:val="21"/>
              </w:rPr>
              <w:t>屏都街道</w:t>
            </w:r>
          </w:p>
        </w:tc>
        <w:tc>
          <w:tcPr>
            <w:tcW w:w="5802" w:type="dxa"/>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textAlignment w:val="auto"/>
              <w:rPr>
                <w:rFonts w:hint="eastAsia" w:ascii="仿宋_GB2312" w:eastAsia="仿宋_GB2312"/>
                <w:sz w:val="21"/>
                <w:szCs w:val="21"/>
              </w:rPr>
            </w:pPr>
            <w:r>
              <w:rPr>
                <w:rFonts w:hint="eastAsia" w:ascii="仿宋_GB2312" w:hAnsi="仿宋_GB2312" w:eastAsia="仿宋_GB2312" w:cs="仿宋_GB2312"/>
                <w:sz w:val="21"/>
                <w:szCs w:val="21"/>
              </w:rPr>
              <w:t>余村村、八一村、八二村、八三村、菊水村、蔡段村（原蔡段村、原坑里村）、洋背</w:t>
            </w:r>
            <w:r>
              <w:rPr>
                <w:rFonts w:hint="eastAsia" w:ascii="仿宋_GB2312" w:eastAsia="仿宋_GB2312"/>
                <w:sz w:val="21"/>
                <w:szCs w:val="21"/>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20" w:type="dxa"/>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jc w:val="center"/>
              <w:textAlignment w:val="auto"/>
              <w:rPr>
                <w:rFonts w:hint="eastAsia" w:ascii="仿宋_GB2312" w:eastAsia="仿宋_GB2312"/>
                <w:sz w:val="21"/>
                <w:szCs w:val="21"/>
              </w:rPr>
            </w:pPr>
            <w:r>
              <w:rPr>
                <w:rFonts w:ascii="仿宋_GB2312" w:eastAsia="仿宋_GB2312"/>
                <w:color w:val="323232"/>
                <w:sz w:val="21"/>
                <w:szCs w:val="21"/>
              </w:rPr>
              <w:t>Ⅲ</w:t>
            </w:r>
          </w:p>
        </w:tc>
        <w:tc>
          <w:tcPr>
            <w:tcW w:w="7242" w:type="dxa"/>
            <w:gridSpan w:val="2"/>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jc w:val="center"/>
              <w:textAlignment w:val="auto"/>
              <w:rPr>
                <w:rFonts w:hint="eastAsia" w:ascii="仿宋_GB2312" w:eastAsia="仿宋_GB2312"/>
                <w:sz w:val="21"/>
                <w:szCs w:val="21"/>
              </w:rPr>
            </w:pPr>
            <w:r>
              <w:rPr>
                <w:rFonts w:ascii="仿宋_GB2312" w:eastAsia="仿宋_GB2312"/>
                <w:color w:val="323232"/>
                <w:sz w:val="21"/>
                <w:szCs w:val="21"/>
              </w:rPr>
              <w:t>上述Ⅰ</w:t>
            </w:r>
            <w:r>
              <w:rPr>
                <w:rFonts w:ascii="仿宋_GB2312" w:eastAsia="仿宋_GB2312"/>
                <w:sz w:val="21"/>
                <w:szCs w:val="21"/>
              </w:rPr>
              <w:t xml:space="preserve"> </w:t>
            </w:r>
            <w:r>
              <w:rPr>
                <w:rFonts w:ascii="KTJ+ZJWDtD-1" w:hAnsi="KTJ+ZJWDtD-1"/>
                <w:color w:val="323232"/>
                <w:sz w:val="21"/>
                <w:szCs w:val="21"/>
              </w:rPr>
              <w:t>、</w:t>
            </w:r>
            <w:r>
              <w:rPr>
                <w:rFonts w:ascii="KTJ+ZJWDtD-1" w:hAnsi="KTJ+ZJWDtD-1"/>
                <w:sz w:val="21"/>
                <w:szCs w:val="21"/>
              </w:rPr>
              <w:t xml:space="preserve"> </w:t>
            </w:r>
            <w:r>
              <w:rPr>
                <w:rFonts w:ascii="仿宋_GB2312" w:eastAsia="仿宋_GB2312"/>
                <w:color w:val="323232"/>
                <w:sz w:val="21"/>
                <w:szCs w:val="21"/>
              </w:rPr>
              <w:t>Ⅱ 区片以外的行政村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20" w:type="dxa"/>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jc w:val="center"/>
              <w:textAlignment w:val="auto"/>
              <w:rPr>
                <w:rFonts w:ascii="仿宋_GB2312" w:eastAsia="仿宋_GB2312"/>
                <w:color w:val="323232"/>
                <w:sz w:val="21"/>
                <w:szCs w:val="21"/>
              </w:rPr>
            </w:pPr>
            <w:r>
              <w:rPr>
                <w:rFonts w:hint="eastAsia" w:ascii="仿宋_GB2312" w:eastAsia="仿宋_GB2312"/>
                <w:color w:val="323232"/>
                <w:sz w:val="21"/>
                <w:szCs w:val="21"/>
              </w:rPr>
              <w:t>备注</w:t>
            </w:r>
          </w:p>
        </w:tc>
        <w:tc>
          <w:tcPr>
            <w:tcW w:w="7242" w:type="dxa"/>
            <w:gridSpan w:val="2"/>
            <w:noWrap w:val="0"/>
            <w:vAlign w:val="center"/>
          </w:tcPr>
          <w:p>
            <w:pPr>
              <w:pStyle w:val="6"/>
              <w:keepNext w:val="0"/>
              <w:keepLines w:val="0"/>
              <w:pageBreakBefore w:val="0"/>
              <w:kinsoku/>
              <w:topLinePunct w:val="0"/>
              <w:autoSpaceDE/>
              <w:autoSpaceDN/>
              <w:bidi w:val="0"/>
              <w:adjustRightInd/>
              <w:snapToGrid/>
              <w:spacing w:beforeAutospacing="0" w:after="0" w:afterAutospacing="0" w:line="560" w:lineRule="exact"/>
              <w:jc w:val="center"/>
              <w:textAlignment w:val="auto"/>
              <w:rPr>
                <w:rFonts w:hint="eastAsia" w:ascii="仿宋_GB2312" w:eastAsia="仿宋_GB2312"/>
                <w:color w:val="323232"/>
                <w:sz w:val="21"/>
                <w:szCs w:val="21"/>
              </w:rPr>
            </w:pPr>
            <w:r>
              <w:rPr>
                <w:rFonts w:hint="eastAsia" w:ascii="仿宋_GB2312" w:eastAsia="仿宋_GB2312"/>
                <w:color w:val="323232"/>
                <w:sz w:val="21"/>
                <w:szCs w:val="21"/>
              </w:rPr>
              <w:t>具体</w:t>
            </w:r>
            <w:r>
              <w:rPr>
                <w:rFonts w:ascii="仿宋_GB2312" w:eastAsia="仿宋_GB2312"/>
                <w:color w:val="323232"/>
                <w:sz w:val="21"/>
                <w:szCs w:val="21"/>
              </w:rPr>
              <w:t>范围以庆元县区片划分示意图</w:t>
            </w:r>
            <w:r>
              <w:rPr>
                <w:rFonts w:hint="eastAsia" w:ascii="仿宋_GB2312" w:eastAsia="仿宋_GB2312"/>
                <w:color w:val="323232"/>
                <w:sz w:val="21"/>
                <w:szCs w:val="21"/>
              </w:rPr>
              <w:t>（附件3）</w:t>
            </w:r>
            <w:r>
              <w:rPr>
                <w:rFonts w:ascii="仿宋_GB2312" w:eastAsia="仿宋_GB2312"/>
                <w:color w:val="323232"/>
                <w:sz w:val="21"/>
                <w:szCs w:val="21"/>
              </w:rPr>
              <w:t>为准</w:t>
            </w: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（三）征地区片综合地价的具体标准</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sz w:val="32"/>
          <w:szCs w:val="32"/>
        </w:rPr>
        <w:t>征地区片综合地价由土地补偿费和安置补助费两项组成，两项分别占</w:t>
      </w:r>
      <w:r>
        <w:rPr>
          <w:rFonts w:ascii="仿宋_GB2312" w:eastAsia="仿宋_GB2312"/>
          <w:sz w:val="32"/>
          <w:szCs w:val="32"/>
        </w:rPr>
        <w:t>征地区片综合地价的</w:t>
      </w:r>
      <w:r>
        <w:rPr>
          <w:rFonts w:hint="eastAsia" w:ascii="仿宋_GB2312" w:eastAsia="仿宋_GB2312"/>
          <w:sz w:val="32"/>
          <w:szCs w:val="32"/>
        </w:rPr>
        <w:t>40</w:t>
      </w:r>
      <w:r>
        <w:rPr>
          <w:rFonts w:ascii="仿宋_GB2312" w:eastAsia="仿宋_GB2312"/>
          <w:sz w:val="32"/>
          <w:szCs w:val="32"/>
        </w:rPr>
        <w:t>%和</w:t>
      </w:r>
      <w:r>
        <w:rPr>
          <w:rFonts w:hint="eastAsia" w:ascii="仿宋_GB2312" w:eastAsia="仿宋_GB2312"/>
          <w:sz w:val="32"/>
          <w:szCs w:val="32"/>
        </w:rPr>
        <w:t>60</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ascii="仿宋_GB2312" w:hAnsi="仿宋_GB2312" w:eastAsia="仿宋_GB2312"/>
          <w:sz w:val="32"/>
          <w:szCs w:val="32"/>
        </w:rPr>
      </w:pPr>
      <w:r>
        <w:rPr>
          <w:rFonts w:hint="eastAsia" w:ascii="仿宋_GB2312" w:hAnsi="仿宋_GB2312" w:eastAsia="仿宋_GB2312"/>
          <w:b/>
          <w:bCs/>
          <w:sz w:val="32"/>
          <w:szCs w:val="32"/>
          <w:lang w:val="en-US" w:eastAsia="zh-CN"/>
        </w:rPr>
        <w:t>2.</w:t>
      </w:r>
      <w:r>
        <w:rPr>
          <w:rFonts w:hint="eastAsia" w:ascii="仿宋_GB2312" w:hAnsi="仿宋_GB2312" w:eastAsia="仿宋_GB2312"/>
          <w:sz w:val="32"/>
          <w:szCs w:val="32"/>
        </w:rPr>
        <w:t>区片综合地价补偿标准包含二大地类：一类为耕地</w:t>
      </w:r>
      <w:r>
        <w:rPr>
          <w:rFonts w:hint="eastAsia" w:ascii="仿宋_GB2312" w:hAnsi="仿宋_GB2312" w:eastAsia="仿宋_GB2312"/>
          <w:sz w:val="32"/>
          <w:szCs w:val="32"/>
          <w:lang w:eastAsia="zh-CN"/>
        </w:rPr>
        <w:t>、园地</w:t>
      </w:r>
      <w:r>
        <w:rPr>
          <w:rFonts w:hint="eastAsia" w:ascii="仿宋_GB2312" w:hAnsi="仿宋_GB2312" w:eastAsia="仿宋_GB2312"/>
          <w:sz w:val="32"/>
          <w:szCs w:val="32"/>
        </w:rPr>
        <w:t>、</w:t>
      </w:r>
      <w:r>
        <w:rPr>
          <w:rFonts w:hint="eastAsia" w:ascii="仿宋_GB2312" w:hAnsi="宋体" w:eastAsia="仿宋_GB2312" w:cs="Arial"/>
          <w:kern w:val="0"/>
          <w:sz w:val="32"/>
          <w:szCs w:val="32"/>
        </w:rPr>
        <w:t>除林地</w:t>
      </w:r>
      <w:r>
        <w:rPr>
          <w:rFonts w:hint="eastAsia" w:ascii="仿宋_GB2312" w:hAnsi="仿宋_GB2312" w:eastAsia="仿宋_GB2312"/>
          <w:sz w:val="32"/>
          <w:szCs w:val="32"/>
        </w:rPr>
        <w:t>（含</w:t>
      </w:r>
      <w:r>
        <w:rPr>
          <w:rFonts w:ascii="仿宋_GB2312" w:hAnsi="仿宋_GB2312" w:eastAsia="仿宋_GB2312"/>
          <w:sz w:val="32"/>
          <w:szCs w:val="32"/>
        </w:rPr>
        <w:t>开发园地</w:t>
      </w:r>
      <w:r>
        <w:rPr>
          <w:rFonts w:hint="eastAsia" w:ascii="仿宋_GB2312" w:hAnsi="仿宋_GB2312" w:eastAsia="仿宋_GB2312"/>
          <w:sz w:val="32"/>
          <w:szCs w:val="32"/>
        </w:rPr>
        <w:t>）</w:t>
      </w:r>
      <w:r>
        <w:rPr>
          <w:rFonts w:ascii="仿宋_GB2312" w:hAnsi="宋体" w:eastAsia="仿宋_GB2312" w:cs="Arial"/>
          <w:kern w:val="0"/>
          <w:sz w:val="32"/>
          <w:szCs w:val="32"/>
        </w:rPr>
        <w:t>以外的其他农用地</w:t>
      </w:r>
      <w:r>
        <w:rPr>
          <w:rFonts w:hint="eastAsia" w:ascii="仿宋_GB2312" w:hAnsi="宋体" w:eastAsia="仿宋_GB2312" w:cs="Arial"/>
          <w:kern w:val="0"/>
          <w:sz w:val="32"/>
          <w:szCs w:val="32"/>
        </w:rPr>
        <w:t>、建设用地</w:t>
      </w:r>
      <w:r>
        <w:rPr>
          <w:rFonts w:hint="eastAsia" w:ascii="仿宋_GB2312" w:hAnsi="仿宋_GB2312" w:eastAsia="仿宋_GB2312"/>
          <w:sz w:val="32"/>
          <w:szCs w:val="32"/>
        </w:rPr>
        <w:t>；二类为林地（含</w:t>
      </w:r>
      <w:r>
        <w:rPr>
          <w:rFonts w:ascii="仿宋_GB2312" w:hAnsi="仿宋_GB2312" w:eastAsia="仿宋_GB2312"/>
          <w:sz w:val="32"/>
          <w:szCs w:val="32"/>
        </w:rPr>
        <w:t>开发园地</w:t>
      </w:r>
      <w:r>
        <w:rPr>
          <w:rFonts w:hint="eastAsia" w:ascii="仿宋_GB2312" w:hAnsi="仿宋_GB2312" w:eastAsia="仿宋_GB2312"/>
          <w:sz w:val="32"/>
          <w:szCs w:val="32"/>
        </w:rPr>
        <w:t>）、未利用地。</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开发</w:t>
      </w:r>
      <w:r>
        <w:rPr>
          <w:rFonts w:ascii="仿宋_GB2312" w:hAnsi="仿宋_GB2312" w:eastAsia="仿宋_GB2312"/>
          <w:sz w:val="32"/>
          <w:szCs w:val="32"/>
        </w:rPr>
        <w:t>园地是指原为林地和未利用地，当地集体经济组织因发展生产的需要，开发后种植</w:t>
      </w:r>
      <w:r>
        <w:rPr>
          <w:rFonts w:hint="eastAsia" w:ascii="仿宋_GB2312" w:hAnsi="仿宋_GB2312" w:eastAsia="仿宋_GB2312"/>
          <w:sz w:val="32"/>
          <w:szCs w:val="32"/>
        </w:rPr>
        <w:t>经济</w:t>
      </w:r>
      <w:r>
        <w:rPr>
          <w:rFonts w:ascii="仿宋_GB2312" w:hAnsi="仿宋_GB2312" w:eastAsia="仿宋_GB2312"/>
          <w:sz w:val="32"/>
          <w:szCs w:val="32"/>
        </w:rPr>
        <w:t>作物，现仍</w:t>
      </w:r>
      <w:r>
        <w:rPr>
          <w:rFonts w:hint="eastAsia" w:ascii="仿宋_GB2312" w:hAnsi="仿宋_GB2312" w:eastAsia="仿宋_GB2312"/>
          <w:sz w:val="32"/>
          <w:szCs w:val="32"/>
        </w:rPr>
        <w:t>按</w:t>
      </w:r>
      <w:r>
        <w:rPr>
          <w:rFonts w:ascii="仿宋_GB2312" w:hAnsi="仿宋_GB2312" w:eastAsia="仿宋_GB2312"/>
          <w:sz w:val="32"/>
          <w:szCs w:val="32"/>
        </w:rPr>
        <w:t>林地管理</w:t>
      </w:r>
      <w:r>
        <w:rPr>
          <w:rFonts w:hint="eastAsia" w:ascii="仿宋_GB2312" w:hAnsi="仿宋_GB2312" w:eastAsia="仿宋_GB2312"/>
          <w:sz w:val="32"/>
          <w:szCs w:val="32"/>
        </w:rPr>
        <w:t>的山地</w:t>
      </w:r>
      <w:r>
        <w:rPr>
          <w:rFonts w:ascii="仿宋_GB2312" w:hAnsi="仿宋_GB2312" w:eastAsia="仿宋_GB2312"/>
          <w:sz w:val="32"/>
          <w:szCs w:val="32"/>
        </w:rPr>
        <w:t>（</w:t>
      </w:r>
      <w:r>
        <w:rPr>
          <w:rFonts w:hint="eastAsia" w:ascii="仿宋_GB2312" w:hAnsi="仿宋_GB2312" w:eastAsia="仿宋_GB2312"/>
          <w:sz w:val="32"/>
          <w:szCs w:val="32"/>
        </w:rPr>
        <w:t>如</w:t>
      </w:r>
      <w:r>
        <w:rPr>
          <w:rFonts w:ascii="仿宋_GB2312" w:hAnsi="仿宋_GB2312" w:eastAsia="仿宋_GB2312"/>
          <w:sz w:val="32"/>
          <w:szCs w:val="32"/>
        </w:rPr>
        <w:t>桔山、茶山</w:t>
      </w:r>
      <w:r>
        <w:rPr>
          <w:rFonts w:hint="eastAsia" w:ascii="仿宋_GB2312" w:hAnsi="仿宋_GB2312" w:eastAsia="仿宋_GB2312"/>
          <w:sz w:val="32"/>
          <w:szCs w:val="32"/>
        </w:rPr>
        <w:t>等</w:t>
      </w:r>
      <w:r>
        <w:rPr>
          <w:rFonts w:ascii="仿宋_GB2312" w:hAnsi="仿宋_GB2312" w:eastAsia="仿宋_GB2312"/>
          <w:sz w:val="32"/>
          <w:szCs w:val="32"/>
        </w:rPr>
        <w:t>）</w:t>
      </w:r>
      <w:r>
        <w:rPr>
          <w:rFonts w:hint="eastAsia" w:ascii="仿宋_GB2312" w:hAnsi="仿宋_GB2312"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b/>
          <w:bCs/>
          <w:sz w:val="32"/>
          <w:szCs w:val="32"/>
          <w:lang w:val="en-US" w:eastAsia="zh-CN"/>
        </w:rPr>
        <w:t>3.</w:t>
      </w:r>
      <w:r>
        <w:rPr>
          <w:rFonts w:hint="eastAsia" w:ascii="仿宋_GB2312" w:hAnsi="宋体" w:eastAsia="仿宋_GB2312" w:cs="Arial"/>
          <w:kern w:val="0"/>
          <w:sz w:val="32"/>
          <w:szCs w:val="32"/>
        </w:rPr>
        <w:t>各区片综合地价标准</w:t>
      </w:r>
      <w:r>
        <w:rPr>
          <w:rFonts w:hint="eastAsia" w:ascii="仿宋_GB2312" w:hAnsi="宋体" w:eastAsia="仿宋_GB2312" w:cs="Arial"/>
          <w:kern w:val="0"/>
          <w:sz w:val="32"/>
          <w:szCs w:val="32"/>
          <w:lang w:eastAsia="zh-CN"/>
        </w:rPr>
        <w:t>。</w:t>
      </w:r>
    </w:p>
    <w:tbl>
      <w:tblPr>
        <w:tblStyle w:val="7"/>
        <w:tblW w:w="9216" w:type="dxa"/>
        <w:jc w:val="center"/>
        <w:tblLayout w:type="fixed"/>
        <w:tblCellMar>
          <w:top w:w="0" w:type="dxa"/>
          <w:left w:w="108" w:type="dxa"/>
          <w:bottom w:w="0" w:type="dxa"/>
          <w:right w:w="108" w:type="dxa"/>
        </w:tblCellMar>
      </w:tblPr>
      <w:tblGrid>
        <w:gridCol w:w="1467"/>
        <w:gridCol w:w="2036"/>
        <w:gridCol w:w="1083"/>
        <w:gridCol w:w="1084"/>
        <w:gridCol w:w="886"/>
        <w:gridCol w:w="887"/>
        <w:gridCol w:w="886"/>
        <w:gridCol w:w="887"/>
      </w:tblGrid>
      <w:tr>
        <w:tblPrEx>
          <w:tblCellMar>
            <w:top w:w="0" w:type="dxa"/>
            <w:left w:w="108" w:type="dxa"/>
            <w:bottom w:w="0" w:type="dxa"/>
            <w:right w:w="108" w:type="dxa"/>
          </w:tblCellMar>
        </w:tblPrEx>
        <w:trPr>
          <w:trHeight w:val="481" w:hRule="atLeast"/>
          <w:jc w:val="center"/>
        </w:trPr>
        <w:tc>
          <w:tcPr>
            <w:tcW w:w="3503"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地   类</w:t>
            </w:r>
          </w:p>
        </w:tc>
        <w:tc>
          <w:tcPr>
            <w:tcW w:w="5713" w:type="dxa"/>
            <w:gridSpan w:val="6"/>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征地区片等级和区片综合地价标准</w:t>
            </w:r>
          </w:p>
        </w:tc>
      </w:tr>
      <w:tr>
        <w:tblPrEx>
          <w:tblCellMar>
            <w:top w:w="0" w:type="dxa"/>
            <w:left w:w="108" w:type="dxa"/>
            <w:bottom w:w="0" w:type="dxa"/>
            <w:right w:w="108" w:type="dxa"/>
          </w:tblCellMar>
        </w:tblPrEx>
        <w:trPr>
          <w:trHeight w:val="593" w:hRule="atLeast"/>
          <w:jc w:val="center"/>
        </w:trPr>
        <w:tc>
          <w:tcPr>
            <w:tcW w:w="3503"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p>
        </w:tc>
        <w:tc>
          <w:tcPr>
            <w:tcW w:w="2167" w:type="dxa"/>
            <w:gridSpan w:val="2"/>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Ⅰ</w:t>
            </w:r>
          </w:p>
        </w:tc>
        <w:tc>
          <w:tcPr>
            <w:tcW w:w="1773" w:type="dxa"/>
            <w:gridSpan w:val="2"/>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Ⅱ</w:t>
            </w:r>
          </w:p>
        </w:tc>
        <w:tc>
          <w:tcPr>
            <w:tcW w:w="1773" w:type="dxa"/>
            <w:gridSpan w:val="2"/>
            <w:tcBorders>
              <w:top w:val="single" w:color="000000" w:sz="4" w:space="0"/>
              <w:left w:val="nil"/>
              <w:bottom w:val="single" w:color="auto"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Ⅲ</w:t>
            </w:r>
          </w:p>
        </w:tc>
      </w:tr>
      <w:tr>
        <w:tblPrEx>
          <w:tblCellMar>
            <w:top w:w="0" w:type="dxa"/>
            <w:left w:w="108" w:type="dxa"/>
            <w:bottom w:w="0" w:type="dxa"/>
            <w:right w:w="108" w:type="dxa"/>
          </w:tblCellMar>
        </w:tblPrEx>
        <w:trPr>
          <w:trHeight w:val="593" w:hRule="atLeast"/>
          <w:jc w:val="center"/>
        </w:trPr>
        <w:tc>
          <w:tcPr>
            <w:tcW w:w="3503"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单位</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元/亩</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hint="eastAsia" w:ascii="Batang" w:hAnsi="Batang" w:cs="Batang"/>
                <w:kern w:val="0"/>
                <w:sz w:val="24"/>
              </w:rPr>
            </w:pPr>
            <w:r>
              <w:rPr>
                <w:rFonts w:hint="eastAsia" w:ascii="仿宋_GB2312" w:eastAsia="仿宋_GB2312"/>
                <w:kern w:val="0"/>
                <w:sz w:val="24"/>
              </w:rPr>
              <w:t>元/</w:t>
            </w:r>
            <w:r>
              <w:rPr>
                <w:rFonts w:hint="eastAsia" w:ascii="Batang" w:hAnsi="Batang" w:eastAsia="Batang" w:cs="Batang"/>
                <w:kern w:val="0"/>
                <w:sz w:val="24"/>
              </w:rPr>
              <w:t>㎡</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元/亩</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hint="eastAsia" w:ascii="Batang" w:hAnsi="Batang" w:cs="Batang"/>
                <w:kern w:val="0"/>
                <w:sz w:val="24"/>
              </w:rPr>
            </w:pPr>
            <w:r>
              <w:rPr>
                <w:rFonts w:hint="eastAsia" w:ascii="仿宋_GB2312" w:eastAsia="仿宋_GB2312"/>
                <w:kern w:val="0"/>
                <w:sz w:val="24"/>
              </w:rPr>
              <w:t>元/</w:t>
            </w:r>
            <w:r>
              <w:rPr>
                <w:rFonts w:hint="eastAsia" w:ascii="Batang" w:hAnsi="Batang" w:eastAsia="Batang" w:cs="Batang"/>
                <w:kern w:val="0"/>
                <w:sz w:val="24"/>
              </w:rPr>
              <w:t>㎡</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元/亩</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hint="eastAsia" w:ascii="Batang" w:hAnsi="Batang" w:cs="Batang"/>
                <w:kern w:val="0"/>
                <w:sz w:val="24"/>
              </w:rPr>
            </w:pPr>
            <w:r>
              <w:rPr>
                <w:rFonts w:hint="eastAsia" w:ascii="仿宋_GB2312" w:eastAsia="仿宋_GB2312"/>
                <w:kern w:val="0"/>
                <w:sz w:val="24"/>
              </w:rPr>
              <w:t>元/</w:t>
            </w:r>
            <w:r>
              <w:rPr>
                <w:rFonts w:hint="eastAsia" w:ascii="Batang" w:hAnsi="Batang" w:eastAsia="Batang" w:cs="Batang"/>
                <w:kern w:val="0"/>
                <w:sz w:val="24"/>
              </w:rPr>
              <w:t>㎡</w:t>
            </w:r>
          </w:p>
        </w:tc>
      </w:tr>
      <w:tr>
        <w:tblPrEx>
          <w:tblCellMar>
            <w:top w:w="0" w:type="dxa"/>
            <w:left w:w="108" w:type="dxa"/>
            <w:bottom w:w="0" w:type="dxa"/>
            <w:right w:w="108" w:type="dxa"/>
          </w:tblCellMar>
        </w:tblPrEx>
        <w:trPr>
          <w:trHeight w:val="1126" w:hRule="atLeast"/>
          <w:jc w:val="center"/>
        </w:trPr>
        <w:tc>
          <w:tcPr>
            <w:tcW w:w="3503"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耕地、园地、除林地（含开发园地）外的其他农用地、建设用地</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80000</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120</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60000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90</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48000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72</w:t>
            </w:r>
          </w:p>
        </w:tc>
      </w:tr>
      <w:tr>
        <w:tblPrEx>
          <w:tblCellMar>
            <w:top w:w="0" w:type="dxa"/>
            <w:left w:w="108" w:type="dxa"/>
            <w:bottom w:w="0" w:type="dxa"/>
            <w:right w:w="108" w:type="dxa"/>
          </w:tblCellMar>
        </w:tblPrEx>
        <w:trPr>
          <w:trHeight w:val="798" w:hRule="atLeast"/>
          <w:jc w:val="center"/>
        </w:trPr>
        <w:tc>
          <w:tcPr>
            <w:tcW w:w="146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hint="eastAsia" w:ascii="仿宋_GB2312" w:eastAsia="仿宋_GB2312"/>
                <w:kern w:val="0"/>
                <w:sz w:val="24"/>
              </w:rPr>
            </w:pPr>
            <w:r>
              <w:rPr>
                <w:rFonts w:hint="eastAsia" w:ascii="仿宋_GB2312" w:eastAsia="仿宋_GB2312"/>
                <w:kern w:val="0"/>
                <w:sz w:val="24"/>
              </w:rPr>
              <w:t>林地（含开发园地）、未利用地</w:t>
            </w:r>
          </w:p>
        </w:tc>
        <w:tc>
          <w:tcPr>
            <w:tcW w:w="20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 xml:space="preserve">开发园地    </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50000</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75</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38000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57</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30800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46.2</w:t>
            </w:r>
          </w:p>
        </w:tc>
      </w:tr>
      <w:tr>
        <w:tblPrEx>
          <w:tblCellMar>
            <w:top w:w="0" w:type="dxa"/>
            <w:left w:w="108" w:type="dxa"/>
            <w:bottom w:w="0" w:type="dxa"/>
            <w:right w:w="108" w:type="dxa"/>
          </w:tblCellMar>
        </w:tblPrEx>
        <w:trPr>
          <w:trHeight w:val="884" w:hRule="atLeast"/>
          <w:jc w:val="center"/>
        </w:trPr>
        <w:tc>
          <w:tcPr>
            <w:tcW w:w="146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p>
        </w:tc>
        <w:tc>
          <w:tcPr>
            <w:tcW w:w="203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林地、未利用地</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48000</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72</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36000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54</w:t>
            </w:r>
          </w:p>
        </w:tc>
        <w:tc>
          <w:tcPr>
            <w:tcW w:w="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28800</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topLinePunct w:val="0"/>
              <w:autoSpaceDE/>
              <w:autoSpaceDN/>
              <w:bidi w:val="0"/>
              <w:adjustRightInd/>
              <w:snapToGrid/>
              <w:spacing w:beforeAutospacing="0" w:afterAutospacing="0" w:line="560" w:lineRule="exact"/>
              <w:jc w:val="center"/>
              <w:textAlignment w:val="auto"/>
              <w:rPr>
                <w:rFonts w:ascii="仿宋_GB2312" w:eastAsia="仿宋_GB2312"/>
                <w:kern w:val="0"/>
                <w:sz w:val="24"/>
              </w:rPr>
            </w:pPr>
            <w:r>
              <w:rPr>
                <w:rFonts w:hint="eastAsia" w:ascii="仿宋_GB2312" w:eastAsia="仿宋_GB2312"/>
                <w:kern w:val="0"/>
                <w:sz w:val="24"/>
              </w:rPr>
              <w:t>43.2</w:t>
            </w:r>
          </w:p>
        </w:tc>
      </w:tr>
    </w:tbl>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（四）其他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hAnsi="宋体" w:eastAsia="仿宋_GB2312" w:cs="Arial"/>
          <w:kern w:val="0"/>
          <w:sz w:val="32"/>
          <w:szCs w:val="32"/>
        </w:rPr>
        <w:t>征收集体土地范围内涉及的合法房屋</w:t>
      </w:r>
      <w:r>
        <w:rPr>
          <w:rFonts w:hint="eastAsia" w:ascii="仿宋_GB2312" w:hAnsi="宋体" w:eastAsia="仿宋_GB2312" w:cs="Arial"/>
          <w:kern w:val="0"/>
          <w:sz w:val="32"/>
          <w:szCs w:val="32"/>
          <w:lang w:eastAsia="zh-CN"/>
        </w:rPr>
        <w:t>和</w:t>
      </w:r>
      <w:r>
        <w:rPr>
          <w:rFonts w:hint="eastAsia" w:ascii="仿宋_GB2312" w:hAnsi="宋体" w:eastAsia="仿宋_GB2312" w:cs="Arial"/>
          <w:kern w:val="0"/>
          <w:sz w:val="32"/>
          <w:szCs w:val="32"/>
        </w:rPr>
        <w:t>合法生产性用房，其补偿标准按照各项目具体房屋征收补偿安置方案执行。</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sz w:val="32"/>
          <w:szCs w:val="32"/>
        </w:rPr>
        <w:t>插花地</w:t>
      </w:r>
      <w:r>
        <w:rPr>
          <w:rFonts w:ascii="仿宋_GB2312" w:eastAsia="仿宋_GB2312"/>
          <w:sz w:val="32"/>
          <w:szCs w:val="32"/>
        </w:rPr>
        <w:t>按所在区片的征地区片综合</w:t>
      </w:r>
      <w:r>
        <w:rPr>
          <w:rFonts w:hint="eastAsia" w:ascii="仿宋_GB2312" w:eastAsia="仿宋_GB2312"/>
          <w:sz w:val="32"/>
          <w:szCs w:val="32"/>
        </w:rPr>
        <w:t>地</w:t>
      </w:r>
      <w:r>
        <w:rPr>
          <w:rFonts w:ascii="仿宋_GB2312" w:eastAsia="仿宋_GB2312"/>
          <w:sz w:val="32"/>
          <w:szCs w:val="32"/>
        </w:rPr>
        <w:t>价</w:t>
      </w:r>
      <w:r>
        <w:rPr>
          <w:rFonts w:hint="eastAsia" w:ascii="仿宋_GB2312" w:eastAsia="仿宋_GB2312"/>
          <w:sz w:val="32"/>
          <w:szCs w:val="32"/>
        </w:rPr>
        <w:t>进行</w:t>
      </w:r>
      <w:r>
        <w:rPr>
          <w:rFonts w:ascii="仿宋_GB2312" w:eastAsia="仿宋_GB2312"/>
          <w:sz w:val="32"/>
          <w:szCs w:val="32"/>
        </w:rPr>
        <w:t>补偿</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firstLine="643" w:firstLineChars="200"/>
        <w:textAlignment w:val="auto"/>
      </w:pPr>
      <w:r>
        <w:rPr>
          <w:rFonts w:hint="eastAsia" w:ascii="楷体_GB2312" w:hAnsi="楷体_GB2312" w:eastAsia="楷体_GB2312" w:cs="楷体_GB2312"/>
          <w:b/>
          <w:bCs/>
          <w:sz w:val="32"/>
          <w:szCs w:val="32"/>
          <w:lang w:val="en-US" w:eastAsia="zh-CN"/>
        </w:rPr>
        <w:t>3.</w:t>
      </w:r>
      <w:r>
        <w:rPr>
          <w:rFonts w:hint="eastAsia" w:ascii="仿宋_GB2312" w:hAnsi="宋体" w:eastAsia="仿宋_GB2312" w:cs="Arial"/>
          <w:spacing w:val="-2"/>
          <w:kern w:val="0"/>
          <w:sz w:val="32"/>
          <w:szCs w:val="32"/>
        </w:rPr>
        <w:t>征用</w:t>
      </w:r>
      <w:r>
        <w:rPr>
          <w:rFonts w:ascii="仿宋_GB2312" w:hAnsi="宋体" w:eastAsia="仿宋_GB2312" w:cs="Arial"/>
          <w:spacing w:val="-2"/>
          <w:kern w:val="0"/>
          <w:sz w:val="32"/>
          <w:szCs w:val="32"/>
        </w:rPr>
        <w:t>集体</w:t>
      </w:r>
      <w:r>
        <w:rPr>
          <w:rFonts w:hint="eastAsia" w:ascii="仿宋_GB2312" w:hAnsi="宋体" w:eastAsia="仿宋_GB2312" w:cs="Arial"/>
          <w:spacing w:val="-2"/>
          <w:kern w:val="0"/>
          <w:sz w:val="32"/>
          <w:szCs w:val="32"/>
        </w:rPr>
        <w:t>土地补偿</w:t>
      </w:r>
      <w:r>
        <w:rPr>
          <w:rFonts w:ascii="仿宋_GB2312" w:hAnsi="宋体" w:eastAsia="仿宋_GB2312" w:cs="Arial"/>
          <w:spacing w:val="-2"/>
          <w:kern w:val="0"/>
          <w:sz w:val="32"/>
          <w:szCs w:val="32"/>
        </w:rPr>
        <w:t>和</w:t>
      </w:r>
      <w:r>
        <w:rPr>
          <w:rFonts w:hint="eastAsia" w:ascii="仿宋_GB2312" w:hAnsi="宋体" w:eastAsia="仿宋_GB2312" w:cs="Arial"/>
          <w:spacing w:val="-2"/>
          <w:kern w:val="0"/>
          <w:sz w:val="32"/>
          <w:szCs w:val="32"/>
        </w:rPr>
        <w:t>收回国有农用地使用</w:t>
      </w:r>
      <w:r>
        <w:rPr>
          <w:rFonts w:ascii="仿宋_GB2312" w:hAnsi="宋体" w:eastAsia="仿宋_GB2312" w:cs="Arial"/>
          <w:spacing w:val="-2"/>
          <w:kern w:val="0"/>
          <w:sz w:val="32"/>
          <w:szCs w:val="32"/>
        </w:rPr>
        <w:t>权补偿</w:t>
      </w:r>
      <w:r>
        <w:rPr>
          <w:rFonts w:hint="eastAsia" w:ascii="仿宋_GB2312" w:hAnsi="宋体" w:eastAsia="仿宋_GB2312" w:cs="Arial"/>
          <w:spacing w:val="-2"/>
          <w:kern w:val="0"/>
          <w:sz w:val="32"/>
          <w:szCs w:val="32"/>
        </w:rPr>
        <w:t>安置</w:t>
      </w:r>
      <w:r>
        <w:rPr>
          <w:rFonts w:ascii="仿宋_GB2312" w:hAnsi="宋体" w:eastAsia="仿宋_GB2312" w:cs="Arial"/>
          <w:spacing w:val="-2"/>
          <w:kern w:val="0"/>
          <w:sz w:val="32"/>
          <w:szCs w:val="32"/>
        </w:rPr>
        <w:t>参照</w:t>
      </w:r>
      <w:r>
        <w:rPr>
          <w:rFonts w:hint="eastAsia" w:ascii="仿宋_GB2312" w:hAnsi="宋体" w:eastAsia="仿宋_GB2312" w:cs="Arial"/>
          <w:spacing w:val="-2"/>
          <w:kern w:val="0"/>
          <w:sz w:val="32"/>
          <w:szCs w:val="32"/>
        </w:rPr>
        <w:t>本标准</w:t>
      </w:r>
      <w:r>
        <w:rPr>
          <w:rFonts w:ascii="仿宋_GB2312" w:hAnsi="宋体" w:eastAsia="仿宋_GB2312" w:cs="Arial"/>
          <w:spacing w:val="-2"/>
          <w:kern w:val="0"/>
          <w:sz w:val="32"/>
          <w:szCs w:val="32"/>
        </w:rPr>
        <w:t>执行</w:t>
      </w:r>
      <w:r>
        <w:rPr>
          <w:rFonts w:hint="eastAsia" w:ascii="仿宋_GB2312" w:hAnsi="宋体" w:eastAsia="仿宋_GB2312" w:cs="Arial"/>
          <w:spacing w:val="-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b/>
          <w:bCs/>
          <w:sz w:val="32"/>
          <w:szCs w:val="32"/>
        </w:rPr>
      </w:pPr>
      <w:r>
        <w:rPr>
          <w:rFonts w:hint="eastAsia" w:ascii="仿宋_GB2312" w:eastAsia="仿宋_GB2312" w:cs="仿宋_GB2312"/>
          <w:b/>
          <w:bCs/>
          <w:sz w:val="32"/>
          <w:szCs w:val="32"/>
          <w:lang w:eastAsia="zh-CN"/>
        </w:rPr>
        <w:t>四</w:t>
      </w:r>
      <w:r>
        <w:rPr>
          <w:rFonts w:hint="eastAsia" w:ascii="仿宋_GB2312" w:eastAsia="仿宋_GB2312" w:cs="仿宋_GB2312"/>
          <w:b/>
          <w:bCs/>
          <w:sz w:val="32"/>
          <w:szCs w:val="32"/>
        </w:rPr>
        <w:t>、解读机关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解读机关：庆元县土地和房屋征收工作指导中心</w:t>
      </w:r>
      <w:r>
        <w:rPr>
          <w:rFonts w:hint="eastAsia" w:ascii="仿宋_GB2312" w:hAnsi="仿宋"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宋体"/>
          <w:sz w:val="32"/>
          <w:szCs w:val="32"/>
          <w:lang w:val="en-US" w:eastAsia="zh-CN"/>
        </w:rPr>
      </w:pPr>
      <w:r>
        <w:rPr>
          <w:rFonts w:hint="eastAsia" w:ascii="仿宋_GB2312" w:hAnsi="仿宋" w:eastAsia="仿宋_GB2312" w:cs="宋体"/>
          <w:sz w:val="32"/>
          <w:szCs w:val="32"/>
        </w:rPr>
        <w:t>联系地址：庆元县濛洲街道银泰商铺35号</w:t>
      </w:r>
      <w:r>
        <w:rPr>
          <w:rFonts w:hint="eastAsia" w:ascii="仿宋_GB2312" w:hAnsi="仿宋" w:eastAsia="仿宋_GB2312" w:cs="宋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仿宋_GB2312" w:cs="黑体"/>
          <w:b w:val="0"/>
          <w:bCs w:val="0"/>
          <w:sz w:val="32"/>
          <w:szCs w:val="32"/>
          <w:lang w:val="en-US" w:eastAsia="zh-CN"/>
        </w:rPr>
      </w:pPr>
      <w:r>
        <w:rPr>
          <w:rFonts w:hint="eastAsia" w:ascii="仿宋_GB2312" w:hAnsi="仿宋" w:eastAsia="仿宋_GB2312" w:cs="宋体"/>
          <w:sz w:val="32"/>
          <w:szCs w:val="32"/>
        </w:rPr>
        <w:t>联系方式：0578--621221</w:t>
      </w:r>
      <w:r>
        <w:rPr>
          <w:rFonts w:hint="eastAsia" w:ascii="仿宋_GB2312" w:hAnsi="仿宋" w:eastAsia="仿宋_GB2312" w:cs="宋体"/>
          <w:sz w:val="32"/>
          <w:szCs w:val="32"/>
          <w:lang w:val="en-US" w:eastAsia="zh-CN"/>
        </w:rPr>
        <w:t>2。</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KTJ+ZJWDtD-1">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Arial Unicode MS">
    <w:altName w:val="Times New Roman"/>
    <w:panose1 w:val="020B0604020202020204"/>
    <w:charset w:val="00"/>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zNDhjNDhkNDMyMTNmN2UzOWUxZjNjOTRlMjFhMWMifQ=="/>
  </w:docVars>
  <w:rsids>
    <w:rsidRoot w:val="002B1AAF"/>
    <w:rsid w:val="002B1AAF"/>
    <w:rsid w:val="0049308C"/>
    <w:rsid w:val="004D6EA9"/>
    <w:rsid w:val="005A1FFC"/>
    <w:rsid w:val="00713298"/>
    <w:rsid w:val="00B26E47"/>
    <w:rsid w:val="00DA4DDF"/>
    <w:rsid w:val="00E2537A"/>
    <w:rsid w:val="0A5E3844"/>
    <w:rsid w:val="0BED0174"/>
    <w:rsid w:val="14003017"/>
    <w:rsid w:val="24CA4A56"/>
    <w:rsid w:val="2895394C"/>
    <w:rsid w:val="2966633D"/>
    <w:rsid w:val="2C135546"/>
    <w:rsid w:val="2D145080"/>
    <w:rsid w:val="339C373C"/>
    <w:rsid w:val="59BB1293"/>
    <w:rsid w:val="60FD1D41"/>
    <w:rsid w:val="61CC631B"/>
    <w:rsid w:val="64BB1752"/>
    <w:rsid w:val="67260C89"/>
    <w:rsid w:val="7CB118D7"/>
    <w:rsid w:val="7E8D39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qFormat/>
    <w:uiPriority w:val="0"/>
    <w:rPr>
      <w:color w:val="0000FF" w:themeColor="hyperlink"/>
      <w:u w:val="single"/>
    </w:rPr>
  </w:style>
  <w:style w:type="character" w:customStyle="1" w:styleId="11">
    <w:name w:val="页眉 Char"/>
    <w:basedOn w:val="8"/>
    <w:link w:val="4"/>
    <w:semiHidden/>
    <w:uiPriority w:val="99"/>
    <w:rPr>
      <w:sz w:val="18"/>
      <w:szCs w:val="18"/>
    </w:rPr>
  </w:style>
  <w:style w:type="character" w:customStyle="1" w:styleId="12">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1410</Words>
  <Characters>1432</Characters>
  <Lines>4</Lines>
  <Paragraphs>1</Paragraphs>
  <TotalTime>0</TotalTime>
  <ScaleCrop>false</ScaleCrop>
  <LinksUpToDate>false</LinksUpToDate>
  <CharactersWithSpaces>1432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2020-09-19T07:41:00Z</dcterms:created>
  <dc:creator>县司法局政策法规科</dc:creator>
  <cp:lastModifiedBy>王兴华</cp:lastModifiedBy>
  <dcterms:modified xsi:type="dcterms:W3CDTF">2023-11-22T01:44:39Z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E06290B00B3B471A874C15205A6ABA5F_12</vt:lpwstr>
  </property>
</Properties>
</file>